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611F4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Table 1 – Description of study cohort *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559"/>
        <w:gridCol w:w="1505"/>
        <w:gridCol w:w="1028"/>
        <w:gridCol w:w="992"/>
      </w:tblGrid>
      <w:tr w:rsidR="00BB567D" w:rsidRPr="00BB567D" w14:paraId="315E562E" w14:textId="77777777" w:rsidTr="00417BF5">
        <w:tc>
          <w:tcPr>
            <w:tcW w:w="2972" w:type="dxa"/>
          </w:tcPr>
          <w:p w14:paraId="153B7F48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Clinical and serological manifestations</w:t>
            </w:r>
          </w:p>
        </w:tc>
        <w:tc>
          <w:tcPr>
            <w:tcW w:w="1559" w:type="dxa"/>
          </w:tcPr>
          <w:p w14:paraId="268EA521" w14:textId="77777777" w:rsidR="00BB567D" w:rsidRPr="00BB567D" w:rsidRDefault="00BB567D" w:rsidP="00417BF5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APS patients</w:t>
            </w:r>
          </w:p>
          <w:p w14:paraId="4961B0C3" w14:textId="77777777" w:rsidR="00BB567D" w:rsidRPr="00BB567D" w:rsidRDefault="00BB567D" w:rsidP="00417BF5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  <w:p w14:paraId="43C71782" w14:textId="77777777" w:rsidR="00BB567D" w:rsidRPr="00BB567D" w:rsidRDefault="00BB567D" w:rsidP="00417BF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(n=130)</w:t>
            </w:r>
          </w:p>
        </w:tc>
        <w:tc>
          <w:tcPr>
            <w:tcW w:w="1505" w:type="dxa"/>
          </w:tcPr>
          <w:p w14:paraId="47DDBAEE" w14:textId="77777777" w:rsidR="00BB567D" w:rsidRPr="00BB567D" w:rsidRDefault="00BB567D" w:rsidP="00417BF5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All controls</w:t>
            </w:r>
          </w:p>
          <w:p w14:paraId="20591B19" w14:textId="77777777" w:rsidR="00BB567D" w:rsidRPr="00BB567D" w:rsidRDefault="00BB567D" w:rsidP="00417BF5">
            <w:pPr>
              <w:bidi w:val="0"/>
              <w:jc w:val="center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</w:p>
          <w:p w14:paraId="1571515F" w14:textId="77777777" w:rsidR="00BB567D" w:rsidRPr="00BB567D" w:rsidRDefault="00BB567D" w:rsidP="00417BF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  <w:u w:val="single"/>
              </w:rPr>
              <w:t>(n=58</w:t>
            </w: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028" w:type="dxa"/>
          </w:tcPr>
          <w:p w14:paraId="374B6156" w14:textId="77777777" w:rsidR="00BB567D" w:rsidRPr="00BB567D" w:rsidRDefault="00BB567D" w:rsidP="00417BF5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Healthy controls N=40</w:t>
            </w:r>
          </w:p>
        </w:tc>
        <w:tc>
          <w:tcPr>
            <w:tcW w:w="992" w:type="dxa"/>
          </w:tcPr>
          <w:p w14:paraId="61E1E014" w14:textId="77777777" w:rsidR="00BB567D" w:rsidRPr="00BB567D" w:rsidRDefault="00BB567D" w:rsidP="00417BF5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Sepsis control n=18</w:t>
            </w:r>
          </w:p>
        </w:tc>
      </w:tr>
      <w:tr w:rsidR="00BB567D" w:rsidRPr="00BB567D" w14:paraId="1E8C47CA" w14:textId="77777777" w:rsidTr="00417BF5">
        <w:tc>
          <w:tcPr>
            <w:tcW w:w="2972" w:type="dxa"/>
          </w:tcPr>
          <w:p w14:paraId="0B1CE04E" w14:textId="77777777" w:rsidR="00BB567D" w:rsidRPr="00BB567D" w:rsidRDefault="00BB567D" w:rsidP="00417BF5">
            <w:pPr>
              <w:bidi w:val="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Age </w:t>
            </w:r>
          </w:p>
          <w:p w14:paraId="6DD5CFA6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(years ± SD)</w:t>
            </w:r>
          </w:p>
        </w:tc>
        <w:tc>
          <w:tcPr>
            <w:tcW w:w="1559" w:type="dxa"/>
          </w:tcPr>
          <w:p w14:paraId="3E8BFFCD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43.8 ± 13.2</w:t>
            </w:r>
          </w:p>
        </w:tc>
        <w:tc>
          <w:tcPr>
            <w:tcW w:w="1505" w:type="dxa"/>
          </w:tcPr>
          <w:p w14:paraId="1BE135EA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37.7 ± 10.7</w:t>
            </w:r>
          </w:p>
        </w:tc>
        <w:tc>
          <w:tcPr>
            <w:tcW w:w="1028" w:type="dxa"/>
          </w:tcPr>
          <w:p w14:paraId="29DE0EB4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  <w:u w:val="single"/>
              </w:rPr>
              <w:t>37</w:t>
            </w: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±11.7</w:t>
            </w:r>
          </w:p>
        </w:tc>
        <w:tc>
          <w:tcPr>
            <w:tcW w:w="992" w:type="dxa"/>
          </w:tcPr>
          <w:p w14:paraId="46E6C7D0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  <w:u w:val="single"/>
              </w:rPr>
              <w:t>39</w:t>
            </w: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±9</w:t>
            </w:r>
          </w:p>
        </w:tc>
      </w:tr>
      <w:tr w:rsidR="00BB567D" w:rsidRPr="00BB567D" w14:paraId="380B409E" w14:textId="77777777" w:rsidTr="00417BF5">
        <w:tc>
          <w:tcPr>
            <w:tcW w:w="2972" w:type="dxa"/>
          </w:tcPr>
          <w:p w14:paraId="06AABFF7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Gender </w:t>
            </w: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(Female) </w:t>
            </w:r>
          </w:p>
        </w:tc>
        <w:tc>
          <w:tcPr>
            <w:tcW w:w="1559" w:type="dxa"/>
          </w:tcPr>
          <w:p w14:paraId="5F932751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79.2%</w:t>
            </w:r>
          </w:p>
        </w:tc>
        <w:tc>
          <w:tcPr>
            <w:tcW w:w="1505" w:type="dxa"/>
          </w:tcPr>
          <w:p w14:paraId="2B583E4C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66%</w:t>
            </w:r>
          </w:p>
        </w:tc>
        <w:tc>
          <w:tcPr>
            <w:tcW w:w="1028" w:type="dxa"/>
          </w:tcPr>
          <w:p w14:paraId="735AA45A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  <w:u w:val="single"/>
              </w:rPr>
              <w:t>80%</w:t>
            </w:r>
          </w:p>
        </w:tc>
        <w:tc>
          <w:tcPr>
            <w:tcW w:w="992" w:type="dxa"/>
          </w:tcPr>
          <w:p w14:paraId="775FFA1E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sz w:val="24"/>
                <w:szCs w:val="24"/>
                <w:u w:val="single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  <w:u w:val="single"/>
              </w:rPr>
              <w:t>30%</w:t>
            </w:r>
          </w:p>
        </w:tc>
      </w:tr>
      <w:tr w:rsidR="00BB567D" w:rsidRPr="00BB567D" w14:paraId="1313B9B5" w14:textId="77777777" w:rsidTr="00417BF5">
        <w:tc>
          <w:tcPr>
            <w:tcW w:w="2972" w:type="dxa"/>
          </w:tcPr>
          <w:p w14:paraId="22BAC0A5" w14:textId="77777777" w:rsidR="00BB567D" w:rsidRPr="00BB567D" w:rsidRDefault="00BB567D" w:rsidP="00417BF5">
            <w:pPr>
              <w:bidi w:val="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Time from Diagnosis  </w:t>
            </w:r>
          </w:p>
          <w:p w14:paraId="717D4C36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(years ± SD)</w:t>
            </w:r>
          </w:p>
        </w:tc>
        <w:tc>
          <w:tcPr>
            <w:tcW w:w="1559" w:type="dxa"/>
          </w:tcPr>
          <w:p w14:paraId="6EE19E63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8.3±7.4 </w:t>
            </w:r>
          </w:p>
        </w:tc>
        <w:tc>
          <w:tcPr>
            <w:tcW w:w="1505" w:type="dxa"/>
          </w:tcPr>
          <w:p w14:paraId="60863605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17D359FA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222F7E79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5A045E94" w14:textId="77777777" w:rsidTr="00417BF5">
        <w:tc>
          <w:tcPr>
            <w:tcW w:w="2972" w:type="dxa"/>
          </w:tcPr>
          <w:p w14:paraId="76C80EBF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Secondary APS </w:t>
            </w:r>
          </w:p>
        </w:tc>
        <w:tc>
          <w:tcPr>
            <w:tcW w:w="1559" w:type="dxa"/>
          </w:tcPr>
          <w:p w14:paraId="73EAA5DA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51.5%</w:t>
            </w:r>
          </w:p>
        </w:tc>
        <w:tc>
          <w:tcPr>
            <w:tcW w:w="1505" w:type="dxa"/>
          </w:tcPr>
          <w:p w14:paraId="0BE98EC4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1A169E57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70C53EBA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5806AD10" w14:textId="77777777" w:rsidTr="00417BF5">
        <w:tc>
          <w:tcPr>
            <w:tcW w:w="2972" w:type="dxa"/>
          </w:tcPr>
          <w:p w14:paraId="74AD3B17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Arterial thrombosis </w:t>
            </w:r>
          </w:p>
        </w:tc>
        <w:tc>
          <w:tcPr>
            <w:tcW w:w="1559" w:type="dxa"/>
          </w:tcPr>
          <w:p w14:paraId="34C0CDB4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47.7%</w:t>
            </w:r>
          </w:p>
        </w:tc>
        <w:tc>
          <w:tcPr>
            <w:tcW w:w="1505" w:type="dxa"/>
          </w:tcPr>
          <w:p w14:paraId="63A03F0A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159F5BDF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1D942972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6F5301E2" w14:textId="77777777" w:rsidTr="00417BF5">
        <w:tc>
          <w:tcPr>
            <w:tcW w:w="2972" w:type="dxa"/>
          </w:tcPr>
          <w:p w14:paraId="132A36ED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CNS manifestations</w:t>
            </w:r>
          </w:p>
        </w:tc>
        <w:tc>
          <w:tcPr>
            <w:tcW w:w="1559" w:type="dxa"/>
          </w:tcPr>
          <w:p w14:paraId="5589DC17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35.4%</w:t>
            </w:r>
          </w:p>
        </w:tc>
        <w:tc>
          <w:tcPr>
            <w:tcW w:w="1505" w:type="dxa"/>
          </w:tcPr>
          <w:p w14:paraId="24CD4ED3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7355C0C7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3BD1811D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06F81B8F" w14:textId="77777777" w:rsidTr="00417BF5">
        <w:tc>
          <w:tcPr>
            <w:tcW w:w="2972" w:type="dxa"/>
          </w:tcPr>
          <w:p w14:paraId="5E7C3ED3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Venous thrombosis</w:t>
            </w:r>
          </w:p>
        </w:tc>
        <w:tc>
          <w:tcPr>
            <w:tcW w:w="1559" w:type="dxa"/>
          </w:tcPr>
          <w:p w14:paraId="5F830B14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59.2%</w:t>
            </w:r>
          </w:p>
        </w:tc>
        <w:tc>
          <w:tcPr>
            <w:tcW w:w="1505" w:type="dxa"/>
          </w:tcPr>
          <w:p w14:paraId="414CE3B8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3DC8E16F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5E7D4620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4ABDFFC0" w14:textId="77777777" w:rsidTr="00417BF5">
        <w:tc>
          <w:tcPr>
            <w:tcW w:w="2972" w:type="dxa"/>
          </w:tcPr>
          <w:p w14:paraId="7745FFEF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Pregnancy morbidity</w:t>
            </w:r>
          </w:p>
        </w:tc>
        <w:tc>
          <w:tcPr>
            <w:tcW w:w="1559" w:type="dxa"/>
          </w:tcPr>
          <w:p w14:paraId="53785C80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29.2%</w:t>
            </w:r>
          </w:p>
        </w:tc>
        <w:tc>
          <w:tcPr>
            <w:tcW w:w="1505" w:type="dxa"/>
          </w:tcPr>
          <w:p w14:paraId="4B816AE6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3EEECF93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6A9E01F5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633BE6FE" w14:textId="77777777" w:rsidTr="00417BF5">
        <w:tc>
          <w:tcPr>
            <w:tcW w:w="2972" w:type="dxa"/>
          </w:tcPr>
          <w:p w14:paraId="76094A3B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(LAC) positivity </w:t>
            </w:r>
          </w:p>
        </w:tc>
        <w:tc>
          <w:tcPr>
            <w:tcW w:w="1559" w:type="dxa"/>
          </w:tcPr>
          <w:p w14:paraId="5D719F56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84.0%</w:t>
            </w:r>
          </w:p>
        </w:tc>
        <w:tc>
          <w:tcPr>
            <w:tcW w:w="1505" w:type="dxa"/>
          </w:tcPr>
          <w:p w14:paraId="6AFA8147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273E753C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22243CC4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  <w:tr w:rsidR="00BB567D" w:rsidRPr="00BB567D" w14:paraId="385D1E25" w14:textId="77777777" w:rsidTr="00417BF5">
        <w:tc>
          <w:tcPr>
            <w:tcW w:w="2972" w:type="dxa"/>
          </w:tcPr>
          <w:p w14:paraId="0C199C88" w14:textId="77777777" w:rsidR="00BB567D" w:rsidRPr="00BB567D" w:rsidRDefault="00BB567D" w:rsidP="00417BF5">
            <w:pPr>
              <w:bidi w:val="0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Triple positive</w:t>
            </w:r>
          </w:p>
          <w:p w14:paraId="4D96C35B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(</w:t>
            </w: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aCL+a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>β2GP1</w:t>
            </w: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+LAC) </w:t>
            </w:r>
          </w:p>
        </w:tc>
        <w:tc>
          <w:tcPr>
            <w:tcW w:w="1559" w:type="dxa"/>
          </w:tcPr>
          <w:p w14:paraId="2BD14B82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55.0%</w:t>
            </w:r>
          </w:p>
        </w:tc>
        <w:tc>
          <w:tcPr>
            <w:tcW w:w="1505" w:type="dxa"/>
          </w:tcPr>
          <w:p w14:paraId="174A7EB7" w14:textId="77777777" w:rsidR="00BB567D" w:rsidRPr="00BB567D" w:rsidRDefault="00BB567D" w:rsidP="00417BF5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NA</w:t>
            </w:r>
          </w:p>
        </w:tc>
        <w:tc>
          <w:tcPr>
            <w:tcW w:w="1028" w:type="dxa"/>
          </w:tcPr>
          <w:p w14:paraId="1FEBE6B5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992" w:type="dxa"/>
          </w:tcPr>
          <w:p w14:paraId="37FE7862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675A4369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0CD90869" w14:textId="77777777" w:rsidR="00BB567D" w:rsidRPr="00BB567D" w:rsidRDefault="00BB567D" w:rsidP="00BB567D">
      <w:pPr>
        <w:pStyle w:val="ListParagraph"/>
        <w:bidi w:val="0"/>
        <w:spacing w:line="240" w:lineRule="auto"/>
        <w:ind w:left="0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 xml:space="preserve">* Data retrieved from medical files. </w:t>
      </w:r>
    </w:p>
    <w:p w14:paraId="7D2461E2" w14:textId="77777777" w:rsidR="00BB567D" w:rsidRPr="00BB567D" w:rsidRDefault="00BB567D" w:rsidP="00BB567D">
      <w:pPr>
        <w:pStyle w:val="ListParagraph"/>
        <w:bidi w:val="0"/>
        <w:spacing w:line="240" w:lineRule="auto"/>
        <w:ind w:left="0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 xml:space="preserve">APS (antiphospholipid antibody syndrome); CNS (central nervous system); NA (not applicable); </w:t>
      </w:r>
      <w:proofErr w:type="spellStart"/>
      <w:r w:rsidRPr="00BB567D">
        <w:rPr>
          <w:rFonts w:asciiTheme="majorBidi" w:hAnsiTheme="majorBidi" w:cstheme="majorBidi"/>
          <w:sz w:val="24"/>
          <w:szCs w:val="24"/>
        </w:rPr>
        <w:t>aCL</w:t>
      </w:r>
      <w:proofErr w:type="spellEnd"/>
      <w:r w:rsidRPr="00BB567D">
        <w:rPr>
          <w:rFonts w:asciiTheme="majorBidi" w:hAnsiTheme="majorBidi" w:cstheme="majorBidi"/>
          <w:sz w:val="24"/>
          <w:szCs w:val="24"/>
        </w:rPr>
        <w:t xml:space="preserve"> (antibody to cardiolipin); aβ2GP1 (antibody to beta2-glycoprotein1); LAC (</w:t>
      </w:r>
      <w:r w:rsidRPr="00BB567D">
        <w:rPr>
          <w:rFonts w:asciiTheme="majorBidi" w:eastAsia="Calibri" w:hAnsiTheme="majorBidi" w:cstheme="majorBidi"/>
          <w:sz w:val="24"/>
          <w:szCs w:val="24"/>
        </w:rPr>
        <w:t>lupus anticoagulant)</w:t>
      </w:r>
    </w:p>
    <w:p w14:paraId="77CC0EB6" w14:textId="77777777" w:rsidR="00BB567D" w:rsidRPr="00BB567D" w:rsidRDefault="00BB567D" w:rsidP="00BB567D">
      <w:pPr>
        <w:bidi w:val="0"/>
        <w:spacing w:line="480" w:lineRule="auto"/>
        <w:ind w:right="992"/>
        <w:rPr>
          <w:rFonts w:asciiTheme="majorBidi" w:hAnsiTheme="majorBidi" w:cstheme="majorBidi"/>
          <w:sz w:val="24"/>
          <w:szCs w:val="24"/>
          <w:u w:val="single"/>
        </w:rPr>
      </w:pPr>
    </w:p>
    <w:p w14:paraId="6A5D66CF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1C3DF56F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0FFD5BD3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05B85F7C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0D33C382" w14:textId="0B888D50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10A1EA11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  <w:u w:val="single"/>
        </w:rPr>
      </w:pPr>
    </w:p>
    <w:p w14:paraId="15E01331" w14:textId="77777777" w:rsidR="00BB567D" w:rsidRPr="00BB567D" w:rsidRDefault="00BB567D" w:rsidP="00BB567D">
      <w:pPr>
        <w:bidi w:val="0"/>
        <w:spacing w:line="24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>Table 2:  Prevalence of different anti-phospholipid antibodies (</w:t>
      </w:r>
      <w:proofErr w:type="spellStart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>aPLs</w:t>
      </w:r>
      <w:proofErr w:type="spellEnd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) among patients with the antiphospholipid syndrome (APS) and controls </w:t>
      </w:r>
    </w:p>
    <w:tbl>
      <w:tblPr>
        <w:tblpPr w:leftFromText="180" w:rightFromText="180" w:vertAnchor="text" w:horzAnchor="margin" w:tblpXSpec="center" w:tblpY="230"/>
        <w:tblW w:w="98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3"/>
        <w:gridCol w:w="754"/>
        <w:gridCol w:w="1157"/>
        <w:gridCol w:w="1146"/>
        <w:gridCol w:w="1229"/>
        <w:gridCol w:w="1385"/>
        <w:gridCol w:w="837"/>
        <w:gridCol w:w="1595"/>
        <w:gridCol w:w="837"/>
      </w:tblGrid>
      <w:tr w:rsidR="00BB567D" w:rsidRPr="00BB567D" w14:paraId="302BC324" w14:textId="77777777" w:rsidTr="00417BF5">
        <w:trPr>
          <w:trHeight w:val="284"/>
        </w:trPr>
        <w:tc>
          <w:tcPr>
            <w:tcW w:w="1667" w:type="dxa"/>
            <w:gridSpan w:val="2"/>
            <w:shd w:val="clear" w:color="auto" w:fill="auto"/>
            <w:vAlign w:val="center"/>
          </w:tcPr>
          <w:p w14:paraId="504D04C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</w:rPr>
              <w:t>aPLs</w:t>
            </w:r>
            <w:proofErr w:type="spellEnd"/>
          </w:p>
        </w:tc>
        <w:tc>
          <w:tcPr>
            <w:tcW w:w="1158" w:type="dxa"/>
            <w:shd w:val="clear" w:color="auto" w:fill="BFBFBF"/>
            <w:vAlign w:val="center"/>
          </w:tcPr>
          <w:p w14:paraId="35BD5F8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APS patients</w:t>
            </w:r>
            <w:r w:rsidRPr="00BB567D">
              <w:rPr>
                <w:rFonts w:asciiTheme="majorBidi" w:eastAsia="Calibri" w:hAnsiTheme="majorBidi" w:cstheme="majorBidi"/>
              </w:rPr>
              <w:br/>
              <w:t>N=130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D065C9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All controls</w:t>
            </w:r>
            <w:r w:rsidRPr="00BB567D">
              <w:rPr>
                <w:rFonts w:asciiTheme="majorBidi" w:eastAsia="Calibri" w:hAnsiTheme="majorBidi" w:cstheme="majorBidi"/>
              </w:rPr>
              <w:br/>
              <w:t>N=58</w:t>
            </w:r>
          </w:p>
        </w:tc>
        <w:tc>
          <w:tcPr>
            <w:tcW w:w="1230" w:type="dxa"/>
            <w:vAlign w:val="center"/>
          </w:tcPr>
          <w:p w14:paraId="381BD11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 value</w:t>
            </w:r>
            <w:r w:rsidRPr="00BB567D">
              <w:rPr>
                <w:rFonts w:asciiTheme="majorBidi" w:eastAsia="Calibri" w:hAnsiTheme="majorBidi" w:cstheme="majorBidi"/>
              </w:rPr>
              <w:br/>
              <w:t xml:space="preserve">APS </w:t>
            </w:r>
            <w:r w:rsidRPr="00BB567D">
              <w:rPr>
                <w:rFonts w:asciiTheme="majorBidi" w:eastAsia="Calibri" w:hAnsiTheme="majorBidi" w:cstheme="majorBidi"/>
                <w:i/>
                <w:iCs/>
              </w:rPr>
              <w:t>vs</w:t>
            </w:r>
            <w:r w:rsidRPr="00BB567D">
              <w:rPr>
                <w:rFonts w:asciiTheme="majorBidi" w:eastAsia="Calibri" w:hAnsiTheme="majorBidi" w:cstheme="majorBidi"/>
              </w:rPr>
              <w:t xml:space="preserve"> All controls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1E3077C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Healthy controls (HC)</w:t>
            </w:r>
            <w:r w:rsidRPr="00BB567D">
              <w:rPr>
                <w:rFonts w:asciiTheme="majorBidi" w:eastAsia="Calibri" w:hAnsiTheme="majorBidi" w:cstheme="majorBidi"/>
              </w:rPr>
              <w:br/>
              <w:t>N=40</w:t>
            </w:r>
          </w:p>
        </w:tc>
        <w:tc>
          <w:tcPr>
            <w:tcW w:w="834" w:type="dxa"/>
            <w:shd w:val="clear" w:color="auto" w:fill="auto"/>
          </w:tcPr>
          <w:p w14:paraId="4470F2A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 value</w:t>
            </w:r>
            <w:r w:rsidRPr="00BB567D">
              <w:rPr>
                <w:rFonts w:asciiTheme="majorBidi" w:eastAsia="Calibri" w:hAnsiTheme="majorBidi" w:cstheme="majorBidi"/>
              </w:rPr>
              <w:br/>
              <w:t xml:space="preserve">APS </w:t>
            </w:r>
            <w:r w:rsidRPr="00BB567D">
              <w:rPr>
                <w:rFonts w:asciiTheme="majorBidi" w:eastAsia="Calibri" w:hAnsiTheme="majorBidi" w:cstheme="majorBidi"/>
                <w:i/>
                <w:iCs/>
              </w:rPr>
              <w:t>vs</w:t>
            </w:r>
            <w:r w:rsidRPr="00BB567D">
              <w:rPr>
                <w:rFonts w:asciiTheme="majorBidi" w:eastAsia="Calibri" w:hAnsiTheme="majorBidi" w:cstheme="majorBidi"/>
              </w:rPr>
              <w:t xml:space="preserve"> HC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3C18C75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Sepsis patients (SP)</w:t>
            </w:r>
            <w:r w:rsidRPr="00BB567D">
              <w:rPr>
                <w:rFonts w:asciiTheme="majorBidi" w:eastAsia="Calibri" w:hAnsiTheme="majorBidi" w:cstheme="majorBidi"/>
              </w:rPr>
              <w:br/>
              <w:t>N=18</w:t>
            </w:r>
          </w:p>
        </w:tc>
        <w:tc>
          <w:tcPr>
            <w:tcW w:w="834" w:type="dxa"/>
            <w:shd w:val="clear" w:color="auto" w:fill="auto"/>
          </w:tcPr>
          <w:p w14:paraId="1DA3CE3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 value</w:t>
            </w:r>
            <w:r w:rsidRPr="00BB567D">
              <w:rPr>
                <w:rFonts w:asciiTheme="majorBidi" w:eastAsia="Calibri" w:hAnsiTheme="majorBidi" w:cstheme="majorBidi"/>
              </w:rPr>
              <w:br/>
              <w:t xml:space="preserve">APS </w:t>
            </w:r>
            <w:r w:rsidRPr="00BB567D">
              <w:rPr>
                <w:rFonts w:asciiTheme="majorBidi" w:eastAsia="Calibri" w:hAnsiTheme="majorBidi" w:cstheme="majorBidi"/>
                <w:i/>
                <w:iCs/>
              </w:rPr>
              <w:t>vs</w:t>
            </w:r>
            <w:r w:rsidRPr="00BB567D">
              <w:rPr>
                <w:rFonts w:asciiTheme="majorBidi" w:eastAsia="Calibri" w:hAnsiTheme="majorBidi" w:cstheme="majorBidi"/>
              </w:rPr>
              <w:t xml:space="preserve"> SP</w:t>
            </w:r>
          </w:p>
        </w:tc>
      </w:tr>
      <w:tr w:rsidR="00BB567D" w:rsidRPr="00BB567D" w14:paraId="12FE6E80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19EA12C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CL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43DEEF7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5A95E1F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34 (26%)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430B18A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1 (2%)</w:t>
            </w:r>
          </w:p>
        </w:tc>
        <w:tc>
          <w:tcPr>
            <w:tcW w:w="1230" w:type="dxa"/>
            <w:vAlign w:val="center"/>
          </w:tcPr>
          <w:p w14:paraId="1BBE6B0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731DD97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B2D95B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7ED51FF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 (5%) </w:t>
            </w:r>
          </w:p>
        </w:tc>
        <w:tc>
          <w:tcPr>
            <w:tcW w:w="834" w:type="dxa"/>
            <w:shd w:val="clear" w:color="auto" w:fill="auto"/>
          </w:tcPr>
          <w:p w14:paraId="5139019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0.07</w:t>
            </w:r>
          </w:p>
        </w:tc>
      </w:tr>
      <w:tr w:rsidR="00BB567D" w:rsidRPr="00BB567D" w14:paraId="20E71A43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45E1CEE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02CB932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56D8A56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77 (59%)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504DDAF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1 (2%)</w:t>
            </w:r>
          </w:p>
        </w:tc>
        <w:tc>
          <w:tcPr>
            <w:tcW w:w="1230" w:type="dxa"/>
            <w:vAlign w:val="center"/>
          </w:tcPr>
          <w:p w14:paraId="55D5832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7B15581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7CE0696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48387D8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rtl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 (5%) </w:t>
            </w:r>
          </w:p>
        </w:tc>
        <w:tc>
          <w:tcPr>
            <w:tcW w:w="834" w:type="dxa"/>
            <w:shd w:val="clear" w:color="auto" w:fill="auto"/>
          </w:tcPr>
          <w:p w14:paraId="3A35115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6F423549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5CE7462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P-acid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2F7AD00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58CA86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17 (13%)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5024CF1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2F2A234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7E98979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3EFD31A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&lt;0.05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1267E3B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36978E7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7584C9EA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5A03369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48522F7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3F40F0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73 (56%)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14F1196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006804B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3189D63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0FEAFD5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45064EF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1E1061C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2C907539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02430B0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PE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10B9AB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53AF94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4 (3%)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127B173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1230" w:type="dxa"/>
            <w:vAlign w:val="center"/>
          </w:tcPr>
          <w:p w14:paraId="1736E98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30A8E71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AB6F09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3737CAE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726F22A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491F7858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3CEDD39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0ADA1C9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6C86DE0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3 (2%)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0D00E6A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1230" w:type="dxa"/>
            <w:vAlign w:val="center"/>
          </w:tcPr>
          <w:p w14:paraId="769E216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2B758E1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7D80DF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169DD81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4077A5C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428B0DEC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5758928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PG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7BF9EE4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3E3609B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4 (3%)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A1F335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1230" w:type="dxa"/>
            <w:vAlign w:val="center"/>
          </w:tcPr>
          <w:p w14:paraId="5A01F24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17B8DE9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2A41362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22C75F7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5A553C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4EBABE8A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6BA1E56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3CEABC5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44855A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50 (38%)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60AF82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5DDDEB9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25A5003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4606F6F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143CE3D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7EFD192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198279C3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6D2C982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PI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2D6498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51D01BA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11 (8%)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7C1E4C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2472A3F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5D086C3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272BF94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0.06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5D080D2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18EEBAD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749A80B5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3D85F56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57240F7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D711D2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59 (45%)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1778E08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1 (2%)</w:t>
            </w:r>
          </w:p>
        </w:tc>
        <w:tc>
          <w:tcPr>
            <w:tcW w:w="1230" w:type="dxa"/>
            <w:vAlign w:val="center"/>
          </w:tcPr>
          <w:p w14:paraId="134A4FB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24E113E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 (2%) </w:t>
            </w:r>
          </w:p>
        </w:tc>
        <w:tc>
          <w:tcPr>
            <w:tcW w:w="834" w:type="dxa"/>
            <w:shd w:val="clear" w:color="auto" w:fill="auto"/>
          </w:tcPr>
          <w:p w14:paraId="69C6028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6C5CAF7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3AC3622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54F39A8E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6648A59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PS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0C04E22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3263CAC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16 (12%)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967166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42D231C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0.003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14CD3F8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210B889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&lt;0.05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5283110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0931C23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3C2617B4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207D21B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7B84159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53C479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73 (56%)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44929B7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1230" w:type="dxa"/>
            <w:vAlign w:val="center"/>
          </w:tcPr>
          <w:p w14:paraId="4762B52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30CCE80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3FEEDB6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49636CA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064C675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4912B306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1C6821B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AN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1E254B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42D8547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2 (1%)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002CE8E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1 (2%)</w:t>
            </w:r>
          </w:p>
        </w:tc>
        <w:tc>
          <w:tcPr>
            <w:tcW w:w="1230" w:type="dxa"/>
            <w:vAlign w:val="center"/>
          </w:tcPr>
          <w:p w14:paraId="55EF4B3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5826704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5AD309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702E464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1 (5%) </w:t>
            </w:r>
          </w:p>
        </w:tc>
        <w:tc>
          <w:tcPr>
            <w:tcW w:w="834" w:type="dxa"/>
            <w:shd w:val="clear" w:color="auto" w:fill="auto"/>
          </w:tcPr>
          <w:p w14:paraId="3A4A224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412D3143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6D6AB8D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324294E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3F58538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36 (27%)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A89B03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5 (9%)</w:t>
            </w:r>
          </w:p>
        </w:tc>
        <w:tc>
          <w:tcPr>
            <w:tcW w:w="1230" w:type="dxa"/>
            <w:vAlign w:val="center"/>
          </w:tcPr>
          <w:p w14:paraId="4F3B35E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0.003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2D90CB8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2 (5%) </w:t>
            </w:r>
          </w:p>
        </w:tc>
        <w:tc>
          <w:tcPr>
            <w:tcW w:w="834" w:type="dxa"/>
            <w:shd w:val="clear" w:color="auto" w:fill="auto"/>
          </w:tcPr>
          <w:p w14:paraId="26DC81E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7470A44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3 (16%) </w:t>
            </w:r>
          </w:p>
        </w:tc>
        <w:tc>
          <w:tcPr>
            <w:tcW w:w="834" w:type="dxa"/>
            <w:shd w:val="clear" w:color="auto" w:fill="auto"/>
          </w:tcPr>
          <w:p w14:paraId="205A3EF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NS</w:t>
            </w:r>
          </w:p>
        </w:tc>
      </w:tr>
      <w:tr w:rsidR="00BB567D" w:rsidRPr="00BB567D" w14:paraId="680CD3B0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7DC7BA6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hAnsiTheme="majorBidi" w:cstheme="majorBidi"/>
              </w:rPr>
              <w:t>β2GP1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7246937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894809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42 (32%)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14170A6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6 (10%)</w:t>
            </w:r>
          </w:p>
        </w:tc>
        <w:tc>
          <w:tcPr>
            <w:tcW w:w="1230" w:type="dxa"/>
            <w:vAlign w:val="center"/>
          </w:tcPr>
          <w:p w14:paraId="52F63B6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0.003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4B51A42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4 (10%) </w:t>
            </w:r>
          </w:p>
        </w:tc>
        <w:tc>
          <w:tcPr>
            <w:tcW w:w="834" w:type="dxa"/>
            <w:shd w:val="clear" w:color="auto" w:fill="auto"/>
          </w:tcPr>
          <w:p w14:paraId="1614305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1F8E180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2 (10%) </w:t>
            </w:r>
          </w:p>
        </w:tc>
        <w:tc>
          <w:tcPr>
            <w:tcW w:w="834" w:type="dxa"/>
            <w:shd w:val="clear" w:color="auto" w:fill="auto"/>
          </w:tcPr>
          <w:p w14:paraId="293B6E8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NS</w:t>
            </w:r>
          </w:p>
        </w:tc>
      </w:tr>
      <w:tr w:rsidR="00BB567D" w:rsidRPr="00BB567D" w14:paraId="5DA40FFD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4F21F72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65147D4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5E17A16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86 (66%)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4B98C41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5 (9%)</w:t>
            </w:r>
          </w:p>
        </w:tc>
        <w:tc>
          <w:tcPr>
            <w:tcW w:w="1230" w:type="dxa"/>
            <w:vAlign w:val="center"/>
          </w:tcPr>
          <w:p w14:paraId="3EA86D7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5E7D564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 (2%) </w:t>
            </w:r>
          </w:p>
        </w:tc>
        <w:tc>
          <w:tcPr>
            <w:tcW w:w="834" w:type="dxa"/>
            <w:shd w:val="clear" w:color="auto" w:fill="auto"/>
          </w:tcPr>
          <w:p w14:paraId="096319D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39E3FEBD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4 (22%) </w:t>
            </w:r>
          </w:p>
        </w:tc>
        <w:tc>
          <w:tcPr>
            <w:tcW w:w="834" w:type="dxa"/>
            <w:shd w:val="clear" w:color="auto" w:fill="auto"/>
          </w:tcPr>
          <w:p w14:paraId="7AB06F2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</w:tr>
      <w:tr w:rsidR="00BB567D" w:rsidRPr="00BB567D" w14:paraId="3A41E0CB" w14:textId="77777777" w:rsidTr="00417BF5">
        <w:trPr>
          <w:trHeight w:val="284"/>
        </w:trPr>
        <w:tc>
          <w:tcPr>
            <w:tcW w:w="913" w:type="dxa"/>
            <w:vMerge w:val="restart"/>
            <w:shd w:val="clear" w:color="auto" w:fill="auto"/>
            <w:vAlign w:val="center"/>
          </w:tcPr>
          <w:p w14:paraId="7A06565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PT</w:t>
            </w:r>
          </w:p>
        </w:tc>
        <w:tc>
          <w:tcPr>
            <w:tcW w:w="754" w:type="dxa"/>
            <w:shd w:val="clear" w:color="auto" w:fill="auto"/>
            <w:vAlign w:val="center"/>
          </w:tcPr>
          <w:p w14:paraId="602C3ED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IgM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1C73D77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 xml:space="preserve">2 (1%)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231E82E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1230" w:type="dxa"/>
            <w:vAlign w:val="center"/>
          </w:tcPr>
          <w:p w14:paraId="6491472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3463EF4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78DF222C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232EF8B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C08020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NS</w:t>
            </w:r>
          </w:p>
        </w:tc>
      </w:tr>
      <w:tr w:rsidR="00BB567D" w:rsidRPr="00BB567D" w14:paraId="3C841454" w14:textId="77777777" w:rsidTr="00417BF5">
        <w:trPr>
          <w:trHeight w:val="284"/>
        </w:trPr>
        <w:tc>
          <w:tcPr>
            <w:tcW w:w="913" w:type="dxa"/>
            <w:vMerge/>
            <w:shd w:val="clear" w:color="auto" w:fill="auto"/>
            <w:vAlign w:val="center"/>
          </w:tcPr>
          <w:p w14:paraId="0C598BF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</w:p>
        </w:tc>
        <w:tc>
          <w:tcPr>
            <w:tcW w:w="754" w:type="dxa"/>
            <w:shd w:val="clear" w:color="auto" w:fill="auto"/>
            <w:vAlign w:val="center"/>
          </w:tcPr>
          <w:p w14:paraId="625B296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</w:rPr>
            </w:pPr>
            <w:r w:rsidRPr="00BB567D">
              <w:rPr>
                <w:rFonts w:asciiTheme="majorBidi" w:eastAsia="Calibri" w:hAnsiTheme="majorBidi" w:cstheme="majorBidi"/>
              </w:rPr>
              <w:t>IgG</w:t>
            </w:r>
          </w:p>
        </w:tc>
        <w:tc>
          <w:tcPr>
            <w:tcW w:w="1158" w:type="dxa"/>
            <w:shd w:val="clear" w:color="auto" w:fill="BFBFBF"/>
            <w:vAlign w:val="center"/>
          </w:tcPr>
          <w:p w14:paraId="5E4FD70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40 (30%) </w:t>
            </w:r>
          </w:p>
        </w:tc>
        <w:tc>
          <w:tcPr>
            <w:tcW w:w="1147" w:type="dxa"/>
            <w:shd w:val="clear" w:color="auto" w:fill="BFBFBF"/>
            <w:vAlign w:val="center"/>
          </w:tcPr>
          <w:p w14:paraId="37F9822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1 (2%)</w:t>
            </w:r>
          </w:p>
        </w:tc>
        <w:tc>
          <w:tcPr>
            <w:tcW w:w="1230" w:type="dxa"/>
            <w:vAlign w:val="center"/>
          </w:tcPr>
          <w:p w14:paraId="7A041FF6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0.001</w:t>
            </w:r>
          </w:p>
        </w:tc>
        <w:tc>
          <w:tcPr>
            <w:tcW w:w="1386" w:type="dxa"/>
            <w:shd w:val="clear" w:color="auto" w:fill="F2F2F2"/>
            <w:vAlign w:val="center"/>
          </w:tcPr>
          <w:p w14:paraId="0B4B06D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0</w:t>
            </w:r>
          </w:p>
        </w:tc>
        <w:tc>
          <w:tcPr>
            <w:tcW w:w="834" w:type="dxa"/>
            <w:shd w:val="clear" w:color="auto" w:fill="auto"/>
          </w:tcPr>
          <w:p w14:paraId="58535F1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&lt;0.001</w:t>
            </w:r>
          </w:p>
        </w:tc>
        <w:tc>
          <w:tcPr>
            <w:tcW w:w="1597" w:type="dxa"/>
            <w:shd w:val="clear" w:color="auto" w:fill="F2F2F2"/>
            <w:vAlign w:val="center"/>
          </w:tcPr>
          <w:p w14:paraId="1173090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 xml:space="preserve">1 (5%) </w:t>
            </w:r>
          </w:p>
        </w:tc>
        <w:tc>
          <w:tcPr>
            <w:tcW w:w="834" w:type="dxa"/>
            <w:shd w:val="clear" w:color="auto" w:fill="auto"/>
          </w:tcPr>
          <w:p w14:paraId="052D78E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</w:rPr>
              <w:t>&lt;0.05</w:t>
            </w:r>
          </w:p>
        </w:tc>
      </w:tr>
    </w:tbl>
    <w:p w14:paraId="320CAF43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2BAC6187" w14:textId="77777777" w:rsidR="00BB567D" w:rsidRPr="00BB567D" w:rsidRDefault="00BB567D" w:rsidP="00BB567D">
      <w:pPr>
        <w:bidi w:val="0"/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>HC (healthy controls); SP (sepsis patients); CL (cardiolipin); β2GP1 (beta2-glycoprotein1); P-acid (phosphatidic acid); PC (phosphatidylcholine); PE (phosphatidylethanolamine); PG (phosphatidylglycerol);  PI (phosphatidylinositol); AN (</w:t>
      </w:r>
      <w:r w:rsidRPr="00BB567D">
        <w:rPr>
          <w:rFonts w:asciiTheme="majorBidi" w:eastAsia="Calibri" w:hAnsiTheme="majorBidi" w:cstheme="majorBidi"/>
          <w:sz w:val="24"/>
          <w:szCs w:val="24"/>
        </w:rPr>
        <w:t>annexin</w:t>
      </w:r>
      <w:r w:rsidRPr="00BB567D">
        <w:rPr>
          <w:rFonts w:asciiTheme="majorBidi" w:hAnsiTheme="majorBidi" w:cstheme="majorBidi"/>
          <w:sz w:val="24"/>
          <w:szCs w:val="24"/>
        </w:rPr>
        <w:t xml:space="preserve"> 5);  PS (phosphatidylserine); PT (prothrombin); NS (non-significant).</w:t>
      </w:r>
    </w:p>
    <w:p w14:paraId="0F2636C3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480F8B97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sz w:val="24"/>
          <w:szCs w:val="24"/>
        </w:rPr>
      </w:pPr>
    </w:p>
    <w:p w14:paraId="176AF4E7" w14:textId="77777777" w:rsidR="00BB567D" w:rsidRPr="00BB567D" w:rsidRDefault="00BB567D" w:rsidP="00BB567D">
      <w:pPr>
        <w:spacing w:line="240" w:lineRule="auto"/>
        <w:ind w:right="142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bookmarkStart w:id="0" w:name="_Toc435559201"/>
    </w:p>
    <w:p w14:paraId="7D41FB9C" w14:textId="77777777" w:rsidR="00BB567D" w:rsidRPr="00BB567D" w:rsidRDefault="00BB567D" w:rsidP="00BB567D">
      <w:pPr>
        <w:spacing w:line="240" w:lineRule="auto"/>
        <w:ind w:right="142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675E8AA1" w14:textId="77777777" w:rsidR="00BB567D" w:rsidRPr="00BB567D" w:rsidRDefault="00BB567D" w:rsidP="00BB567D">
      <w:pPr>
        <w:spacing w:line="240" w:lineRule="auto"/>
        <w:ind w:right="142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</w:pPr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lastRenderedPageBreak/>
        <w:t xml:space="preserve">Table 3: APS phenotypes correlation with </w:t>
      </w:r>
      <w:proofErr w:type="spellStart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>aPLs</w:t>
      </w:r>
      <w:proofErr w:type="spellEnd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and </w:t>
      </w:r>
      <w:proofErr w:type="spellStart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>aPLs</w:t>
      </w:r>
      <w:proofErr w:type="spellEnd"/>
      <w:r w:rsidRPr="00BB567D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profiles*</w:t>
      </w:r>
    </w:p>
    <w:p w14:paraId="30F91F2D" w14:textId="77777777" w:rsidR="00BB567D" w:rsidRPr="00BB567D" w:rsidRDefault="00BB567D" w:rsidP="00BB567D">
      <w:pPr>
        <w:spacing w:line="240" w:lineRule="auto"/>
        <w:ind w:right="142"/>
        <w:jc w:val="right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tbl>
      <w:tblPr>
        <w:tblStyle w:val="TableGrid"/>
        <w:bidiVisual/>
        <w:tblW w:w="0" w:type="auto"/>
        <w:tblInd w:w="-351" w:type="dxa"/>
        <w:tblLook w:val="04A0" w:firstRow="1" w:lastRow="0" w:firstColumn="1" w:lastColumn="0" w:noHBand="0" w:noVBand="1"/>
      </w:tblPr>
      <w:tblGrid>
        <w:gridCol w:w="2635"/>
        <w:gridCol w:w="3882"/>
        <w:gridCol w:w="3180"/>
      </w:tblGrid>
      <w:tr w:rsidR="00BB567D" w:rsidRPr="00BB567D" w14:paraId="790ECD36" w14:textId="77777777" w:rsidTr="00417BF5">
        <w:tc>
          <w:tcPr>
            <w:tcW w:w="2694" w:type="dxa"/>
          </w:tcPr>
          <w:p w14:paraId="602DCF45" w14:textId="77777777" w:rsidR="00BB567D" w:rsidRPr="00BB567D" w:rsidRDefault="00BB567D" w:rsidP="00417BF5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O.R.</w:t>
            </w:r>
          </w:p>
        </w:tc>
        <w:tc>
          <w:tcPr>
            <w:tcW w:w="3969" w:type="dxa"/>
          </w:tcPr>
          <w:p w14:paraId="587586AC" w14:textId="77777777" w:rsidR="00BB567D" w:rsidRPr="00BB567D" w:rsidRDefault="00BB567D" w:rsidP="00417BF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Associated </w:t>
            </w:r>
            <w:proofErr w:type="spellStart"/>
            <w:r w:rsidRPr="00BB56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aPLs</w:t>
            </w:r>
            <w:proofErr w:type="spellEnd"/>
            <w:r w:rsidRPr="00BB56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  <w:p w14:paraId="2FBC50F2" w14:textId="77777777" w:rsidR="00BB567D" w:rsidRPr="00BB567D" w:rsidRDefault="00BB567D" w:rsidP="00417BF5">
            <w:pPr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and clinical manifestations</w:t>
            </w:r>
          </w:p>
        </w:tc>
        <w:tc>
          <w:tcPr>
            <w:tcW w:w="3242" w:type="dxa"/>
          </w:tcPr>
          <w:p w14:paraId="667A334C" w14:textId="77777777" w:rsidR="00BB567D" w:rsidRPr="00BB567D" w:rsidRDefault="00BB567D" w:rsidP="00417BF5">
            <w:pPr>
              <w:jc w:val="righ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APS phenotypes </w:t>
            </w:r>
          </w:p>
        </w:tc>
      </w:tr>
      <w:tr w:rsidR="00BB567D" w:rsidRPr="00BB567D" w14:paraId="4DFF6B78" w14:textId="77777777" w:rsidTr="00417BF5">
        <w:tc>
          <w:tcPr>
            <w:tcW w:w="2694" w:type="dxa"/>
          </w:tcPr>
          <w:p w14:paraId="47E39251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4.1 [CI 95% 1.9-96]</w:t>
            </w:r>
          </w:p>
          <w:p w14:paraId="00711774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2.3 [CI 95% 1.1-5.1]</w:t>
            </w:r>
          </w:p>
          <w:p w14:paraId="0D9D7172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2.2 [CI 95% 1.1-4.5]</w:t>
            </w:r>
          </w:p>
        </w:tc>
        <w:tc>
          <w:tcPr>
            <w:tcW w:w="3969" w:type="dxa"/>
          </w:tcPr>
          <w:p w14:paraId="6C15CDA6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&gt;7 any </w:t>
            </w: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aPLs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>**</w:t>
            </w:r>
          </w:p>
          <w:p w14:paraId="1B7F373B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aPT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IgG</w:t>
            </w:r>
          </w:p>
          <w:p w14:paraId="7A768D19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Primary APS</w:t>
            </w:r>
          </w:p>
        </w:tc>
        <w:tc>
          <w:tcPr>
            <w:tcW w:w="3242" w:type="dxa"/>
          </w:tcPr>
          <w:p w14:paraId="311000E7" w14:textId="77777777" w:rsidR="00BB567D" w:rsidRPr="00BB567D" w:rsidRDefault="00BB567D" w:rsidP="00417BF5">
            <w:pPr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Arterial thrombosis</w:t>
            </w:r>
          </w:p>
        </w:tc>
      </w:tr>
      <w:tr w:rsidR="00BB567D" w:rsidRPr="00BB567D" w14:paraId="614A2990" w14:textId="77777777" w:rsidTr="00417BF5">
        <w:tc>
          <w:tcPr>
            <w:tcW w:w="2694" w:type="dxa"/>
          </w:tcPr>
          <w:p w14:paraId="5ACAB45B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2.6 [CI 95% 1.1-6.3]</w:t>
            </w:r>
          </w:p>
        </w:tc>
        <w:tc>
          <w:tcPr>
            <w:tcW w:w="3969" w:type="dxa"/>
          </w:tcPr>
          <w:p w14:paraId="2D75F820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aPT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+ </w:t>
            </w: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aPG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+ </w:t>
            </w: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aPI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and </w:t>
            </w: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aAN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(IgG)</w:t>
            </w:r>
          </w:p>
        </w:tc>
        <w:tc>
          <w:tcPr>
            <w:tcW w:w="3242" w:type="dxa"/>
          </w:tcPr>
          <w:p w14:paraId="21BCC123" w14:textId="77777777" w:rsidR="00BB567D" w:rsidRPr="00BB567D" w:rsidRDefault="00BB567D" w:rsidP="00417BF5">
            <w:pPr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CNS manifestations</w:t>
            </w:r>
          </w:p>
        </w:tc>
      </w:tr>
      <w:tr w:rsidR="00BB567D" w:rsidRPr="00BB567D" w14:paraId="0DB26E76" w14:textId="77777777" w:rsidTr="00417BF5">
        <w:tc>
          <w:tcPr>
            <w:tcW w:w="2694" w:type="dxa"/>
          </w:tcPr>
          <w:p w14:paraId="75296EF2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0.3 [CI 95% 0.1-0.9]</w:t>
            </w:r>
          </w:p>
        </w:tc>
        <w:tc>
          <w:tcPr>
            <w:tcW w:w="3969" w:type="dxa"/>
          </w:tcPr>
          <w:p w14:paraId="519240DC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>-acid IgM</w:t>
            </w:r>
          </w:p>
        </w:tc>
        <w:tc>
          <w:tcPr>
            <w:tcW w:w="3242" w:type="dxa"/>
          </w:tcPr>
          <w:p w14:paraId="72CF1701" w14:textId="77777777" w:rsidR="00BB567D" w:rsidRPr="00BB567D" w:rsidRDefault="00BB567D" w:rsidP="00417BF5">
            <w:pPr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Venous thrombosis</w:t>
            </w:r>
          </w:p>
        </w:tc>
      </w:tr>
      <w:tr w:rsidR="00BB567D" w:rsidRPr="00BB567D" w14:paraId="4E311805" w14:textId="77777777" w:rsidTr="00417BF5">
        <w:tc>
          <w:tcPr>
            <w:tcW w:w="2694" w:type="dxa"/>
          </w:tcPr>
          <w:p w14:paraId="11446A54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3 </w:t>
            </w:r>
            <w:proofErr w:type="gram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  [</w:t>
            </w:r>
            <w:proofErr w:type="gram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>CI 95% 1.08-8.1]</w:t>
            </w:r>
          </w:p>
          <w:p w14:paraId="08AFDA9B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3.4 [CI 95%1.08-10.9]</w:t>
            </w:r>
          </w:p>
        </w:tc>
        <w:tc>
          <w:tcPr>
            <w:tcW w:w="3969" w:type="dxa"/>
          </w:tcPr>
          <w:p w14:paraId="5D6227BA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aPI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IgG</w:t>
            </w:r>
          </w:p>
          <w:p w14:paraId="199AE5FC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aAN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3242" w:type="dxa"/>
          </w:tcPr>
          <w:p w14:paraId="6675BF19" w14:textId="77777777" w:rsidR="00BB567D" w:rsidRPr="00BB567D" w:rsidRDefault="00BB567D" w:rsidP="00417BF5">
            <w:pPr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Event free period &gt; 3 years from last thrombotic events</w:t>
            </w:r>
          </w:p>
        </w:tc>
      </w:tr>
      <w:tr w:rsidR="00BB567D" w:rsidRPr="00BB567D" w14:paraId="5090DFC8" w14:textId="77777777" w:rsidTr="00417BF5">
        <w:tc>
          <w:tcPr>
            <w:tcW w:w="2694" w:type="dxa"/>
          </w:tcPr>
          <w:p w14:paraId="4C734DE9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2.9 [CI 95% 1.3-6.5]</w:t>
            </w:r>
          </w:p>
          <w:p w14:paraId="7E80B22A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2.8 [CI 95% 1.02-8]</w:t>
            </w:r>
          </w:p>
          <w:p w14:paraId="2A400340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3.3 [CI 95% 1.5-7.2]</w:t>
            </w:r>
          </w:p>
          <w:p w14:paraId="74C969D1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3.9 [CI 95% 1.7-9]</w:t>
            </w:r>
          </w:p>
          <w:p w14:paraId="6DED6046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2.3 [CI 95%1.03-5.16]</w:t>
            </w:r>
          </w:p>
        </w:tc>
        <w:tc>
          <w:tcPr>
            <w:tcW w:w="3969" w:type="dxa"/>
          </w:tcPr>
          <w:p w14:paraId="46934641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aCL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IgG and </w:t>
            </w:r>
            <w:proofErr w:type="spellStart"/>
            <w:r w:rsidRPr="00BB567D">
              <w:rPr>
                <w:rFonts w:asciiTheme="majorBidi" w:hAnsiTheme="majorBidi" w:cstheme="majorBidi"/>
                <w:sz w:val="24"/>
                <w:szCs w:val="24"/>
              </w:rPr>
              <w:t>aPS</w:t>
            </w:r>
            <w:proofErr w:type="spellEnd"/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 IgG</w:t>
            </w:r>
          </w:p>
          <w:p w14:paraId="1AFB09F3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anti-AN IgG</w:t>
            </w:r>
          </w:p>
          <w:p w14:paraId="2BB97D0E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Arterial thrombosis</w:t>
            </w:r>
          </w:p>
          <w:p w14:paraId="05FF4A65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 xml:space="preserve">CNS manifestations </w:t>
            </w:r>
          </w:p>
          <w:p w14:paraId="2DD5C308" w14:textId="77777777" w:rsidR="00BB567D" w:rsidRPr="00BB567D" w:rsidRDefault="00BB567D" w:rsidP="00417BF5">
            <w:pPr>
              <w:bidi w:val="0"/>
              <w:spacing w:line="480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Secondary APS</w:t>
            </w:r>
          </w:p>
        </w:tc>
        <w:tc>
          <w:tcPr>
            <w:tcW w:w="3242" w:type="dxa"/>
          </w:tcPr>
          <w:p w14:paraId="7CA7E88A" w14:textId="77777777" w:rsidR="00BB567D" w:rsidRPr="00BB567D" w:rsidRDefault="00BB567D" w:rsidP="00417BF5">
            <w:pPr>
              <w:spacing w:line="480" w:lineRule="auto"/>
              <w:jc w:val="right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BB567D">
              <w:rPr>
                <w:rFonts w:asciiTheme="majorBidi" w:hAnsiTheme="majorBidi" w:cstheme="majorBidi"/>
                <w:sz w:val="24"/>
                <w:szCs w:val="24"/>
              </w:rPr>
              <w:t>Pregnancy morbidity</w:t>
            </w:r>
          </w:p>
        </w:tc>
      </w:tr>
    </w:tbl>
    <w:p w14:paraId="60E5D9FD" w14:textId="77777777" w:rsidR="00BB567D" w:rsidRPr="00BB567D" w:rsidRDefault="00BB567D" w:rsidP="00BB567D">
      <w:pPr>
        <w:pStyle w:val="ListParagraph"/>
        <w:bidi w:val="0"/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</w:p>
    <w:p w14:paraId="6CE8B30C" w14:textId="77777777" w:rsidR="00BB567D" w:rsidRPr="00BB567D" w:rsidRDefault="00BB567D" w:rsidP="00BB567D">
      <w:pPr>
        <w:pStyle w:val="ListParagraph"/>
        <w:bidi w:val="0"/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</w:p>
    <w:p w14:paraId="3629C208" w14:textId="77777777" w:rsidR="00BB567D" w:rsidRPr="00BB567D" w:rsidRDefault="00BB567D" w:rsidP="00BB567D">
      <w:pPr>
        <w:pStyle w:val="ListParagraph"/>
        <w:bidi w:val="0"/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</w:p>
    <w:p w14:paraId="7B056B51" w14:textId="77777777" w:rsidR="00BB567D" w:rsidRPr="00BB567D" w:rsidRDefault="00BB567D" w:rsidP="00BB567D">
      <w:pPr>
        <w:pStyle w:val="ListParagraph"/>
        <w:bidi w:val="0"/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>*Data is compared among APS patients with and without the defining phenotype</w:t>
      </w:r>
    </w:p>
    <w:p w14:paraId="19F30E65" w14:textId="77777777" w:rsidR="00BB567D" w:rsidRPr="00BB567D" w:rsidRDefault="00BB567D" w:rsidP="00BB567D">
      <w:pPr>
        <w:pStyle w:val="ListParagraph"/>
        <w:bidi w:val="0"/>
        <w:spacing w:line="240" w:lineRule="auto"/>
        <w:ind w:left="142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>**CL (cardiolipin); β2GP1 (beta2-glycoprotein1); P-acid (phosphatidic acid); PC (phosphatidylcholine); PE (phosphatidylethanolamine); PG (phosphatidylglycerol</w:t>
      </w:r>
      <w:proofErr w:type="gramStart"/>
      <w:r w:rsidRPr="00BB567D">
        <w:rPr>
          <w:rFonts w:asciiTheme="majorBidi" w:hAnsiTheme="majorBidi" w:cstheme="majorBidi"/>
          <w:sz w:val="24"/>
          <w:szCs w:val="24"/>
        </w:rPr>
        <w:t>);  PI</w:t>
      </w:r>
      <w:proofErr w:type="gramEnd"/>
      <w:r w:rsidRPr="00BB567D">
        <w:rPr>
          <w:rFonts w:asciiTheme="majorBidi" w:hAnsiTheme="majorBidi" w:cstheme="majorBidi"/>
          <w:sz w:val="24"/>
          <w:szCs w:val="24"/>
        </w:rPr>
        <w:t xml:space="preserve"> (phosphatidylinositol); AN (</w:t>
      </w:r>
      <w:r w:rsidRPr="00BB567D">
        <w:rPr>
          <w:rFonts w:asciiTheme="majorBidi" w:eastAsia="Calibri" w:hAnsiTheme="majorBidi" w:cstheme="majorBidi"/>
          <w:sz w:val="24"/>
          <w:szCs w:val="24"/>
        </w:rPr>
        <w:t>annexin</w:t>
      </w:r>
      <w:r w:rsidRPr="00BB567D">
        <w:rPr>
          <w:rFonts w:asciiTheme="majorBidi" w:hAnsiTheme="majorBidi" w:cstheme="majorBidi"/>
          <w:sz w:val="24"/>
          <w:szCs w:val="24"/>
        </w:rPr>
        <w:t xml:space="preserve"> 5);  PS (phosphatidylserine); PT (prothrombin);</w:t>
      </w:r>
    </w:p>
    <w:p w14:paraId="1C7BF7DC" w14:textId="77777777" w:rsidR="00BB567D" w:rsidRPr="00BB567D" w:rsidRDefault="00BB567D" w:rsidP="00BB567D">
      <w:pPr>
        <w:pStyle w:val="Heading2"/>
        <w:bidi w:val="0"/>
        <w:spacing w:line="480" w:lineRule="auto"/>
        <w:rPr>
          <w:rFonts w:asciiTheme="majorBidi" w:hAnsiTheme="majorBidi"/>
          <w:color w:val="auto"/>
          <w:sz w:val="24"/>
          <w:szCs w:val="24"/>
          <w:u w:val="single"/>
        </w:rPr>
      </w:pPr>
    </w:p>
    <w:p w14:paraId="5AE06B1E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6E7A4094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630C5012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6A68A85D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4C0FF238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1ACC208B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240931F0" w14:textId="77777777" w:rsidR="00BB567D" w:rsidRPr="00BB567D" w:rsidRDefault="00BB567D" w:rsidP="00BB567D">
      <w:pPr>
        <w:bidi w:val="0"/>
        <w:rPr>
          <w:rFonts w:asciiTheme="majorBidi" w:hAnsiTheme="majorBidi" w:cstheme="majorBidi"/>
          <w:sz w:val="24"/>
          <w:szCs w:val="24"/>
        </w:rPr>
      </w:pPr>
    </w:p>
    <w:p w14:paraId="0FCD9BEF" w14:textId="77777777" w:rsidR="00BB567D" w:rsidRPr="00BB567D" w:rsidRDefault="00BB567D" w:rsidP="00BB567D">
      <w:pPr>
        <w:pStyle w:val="Heading2"/>
        <w:bidi w:val="0"/>
        <w:spacing w:line="240" w:lineRule="auto"/>
        <w:rPr>
          <w:rFonts w:asciiTheme="majorBidi" w:hAnsiTheme="majorBidi"/>
          <w:b/>
          <w:bCs/>
          <w:color w:val="auto"/>
          <w:sz w:val="24"/>
          <w:szCs w:val="24"/>
          <w:u w:val="single"/>
        </w:rPr>
      </w:pPr>
      <w:r w:rsidRPr="00BB567D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lastRenderedPageBreak/>
        <w:t>Table 4:  Gender association with anti-phospholipids antibodies (</w:t>
      </w:r>
      <w:proofErr w:type="spellStart"/>
      <w:r w:rsidRPr="00BB567D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>aPLs</w:t>
      </w:r>
      <w:proofErr w:type="spellEnd"/>
      <w:r w:rsidRPr="00BB567D">
        <w:rPr>
          <w:rFonts w:asciiTheme="majorBidi" w:hAnsiTheme="majorBidi"/>
          <w:b/>
          <w:bCs/>
          <w:color w:val="auto"/>
          <w:sz w:val="24"/>
          <w:szCs w:val="24"/>
          <w:u w:val="single"/>
        </w:rPr>
        <w:t xml:space="preserve">) among patients with the anti-phospholipids syndrome (APS)  </w:t>
      </w:r>
      <w:bookmarkEnd w:id="0"/>
    </w:p>
    <w:p w14:paraId="5DE3C7D6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01"/>
        <w:gridCol w:w="2752"/>
        <w:gridCol w:w="2693"/>
      </w:tblGrid>
      <w:tr w:rsidR="00BB567D" w:rsidRPr="00BB567D" w14:paraId="4357141B" w14:textId="77777777" w:rsidTr="00417BF5">
        <w:tc>
          <w:tcPr>
            <w:tcW w:w="2601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676366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aPLs</w:t>
            </w:r>
            <w:proofErr w:type="spellEnd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associated with gender 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00130410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Odds ratio (CI 95</w:t>
            </w:r>
            <w:proofErr w:type="gramStart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%)  for</w:t>
            </w:r>
            <w:proofErr w:type="gramEnd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female sex</w:t>
            </w:r>
          </w:p>
        </w:tc>
        <w:tc>
          <w:tcPr>
            <w:tcW w:w="2693" w:type="dxa"/>
          </w:tcPr>
          <w:p w14:paraId="748F951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Odds ratio (CI 95</w:t>
            </w:r>
            <w:proofErr w:type="gramStart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%)  for</w:t>
            </w:r>
            <w:proofErr w:type="gramEnd"/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 xml:space="preserve"> male sex</w:t>
            </w:r>
          </w:p>
        </w:tc>
      </w:tr>
      <w:tr w:rsidR="00BB567D" w:rsidRPr="00BB567D" w14:paraId="4CB4EE17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EAB306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aPE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IgM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086C4B57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2.5 (1.03-6)</w:t>
            </w:r>
          </w:p>
        </w:tc>
        <w:tc>
          <w:tcPr>
            <w:tcW w:w="2693" w:type="dxa"/>
          </w:tcPr>
          <w:p w14:paraId="3D93085F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0.39 (0.16-0.96)</w:t>
            </w:r>
          </w:p>
        </w:tc>
      </w:tr>
      <w:tr w:rsidR="00BB567D" w:rsidRPr="00BB567D" w14:paraId="5C579D1A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41ED06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aCL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3D2EF144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0.3 (0.1-0.6)</w:t>
            </w:r>
          </w:p>
        </w:tc>
        <w:tc>
          <w:tcPr>
            <w:tcW w:w="2693" w:type="dxa"/>
          </w:tcPr>
          <w:p w14:paraId="4CEA875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3.4 (1.6-7.4)</w:t>
            </w:r>
          </w:p>
        </w:tc>
      </w:tr>
      <w:tr w:rsidR="00BB567D" w:rsidRPr="00BB567D" w14:paraId="0F05E0E6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32CFA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aPG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40541D85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0.2 (0.1-0.5)</w:t>
            </w:r>
          </w:p>
        </w:tc>
        <w:tc>
          <w:tcPr>
            <w:tcW w:w="2693" w:type="dxa"/>
          </w:tcPr>
          <w:p w14:paraId="75FD3C7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2.2 (1-4.6)</w:t>
            </w:r>
          </w:p>
        </w:tc>
      </w:tr>
      <w:tr w:rsidR="00BB567D" w:rsidRPr="00BB567D" w14:paraId="6A07B501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F91A39B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aPI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413E5929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0.2 (0.1-0.5)</w:t>
            </w:r>
          </w:p>
        </w:tc>
        <w:tc>
          <w:tcPr>
            <w:tcW w:w="2693" w:type="dxa"/>
          </w:tcPr>
          <w:p w14:paraId="0FEF4A72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2.5 (1.1-5.4)</w:t>
            </w:r>
          </w:p>
        </w:tc>
      </w:tr>
      <w:tr w:rsidR="00BB567D" w:rsidRPr="00BB567D" w14:paraId="73AA21A6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B7CD0A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aAN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5A41E52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0.2 (0.1-0.4)</w:t>
            </w:r>
          </w:p>
        </w:tc>
        <w:tc>
          <w:tcPr>
            <w:tcW w:w="2693" w:type="dxa"/>
          </w:tcPr>
          <w:p w14:paraId="2CFFFD6E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3.0 (1.3-6.9)</w:t>
            </w:r>
          </w:p>
        </w:tc>
      </w:tr>
      <w:tr w:rsidR="00BB567D" w:rsidRPr="00BB567D" w14:paraId="61953669" w14:textId="77777777" w:rsidTr="00417BF5">
        <w:trPr>
          <w:trHeight w:hRule="exact" w:val="567"/>
        </w:trPr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D9E273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proofErr w:type="spellStart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aPT</w:t>
            </w:r>
            <w:proofErr w:type="spellEnd"/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 xml:space="preserve"> IgG</w:t>
            </w:r>
          </w:p>
        </w:tc>
        <w:tc>
          <w:tcPr>
            <w:tcW w:w="2752" w:type="dxa"/>
            <w:shd w:val="clear" w:color="auto" w:fill="auto"/>
            <w:vAlign w:val="center"/>
          </w:tcPr>
          <w:p w14:paraId="21D14D71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sz w:val="24"/>
                <w:szCs w:val="24"/>
              </w:rPr>
              <w:t>0.1 (0.4-0.3)</w:t>
            </w:r>
          </w:p>
        </w:tc>
        <w:tc>
          <w:tcPr>
            <w:tcW w:w="2693" w:type="dxa"/>
          </w:tcPr>
          <w:p w14:paraId="75949E98" w14:textId="77777777" w:rsidR="00BB567D" w:rsidRPr="00BB567D" w:rsidRDefault="00BB567D" w:rsidP="00417BF5">
            <w:pPr>
              <w:bidi w:val="0"/>
              <w:spacing w:line="240" w:lineRule="auto"/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</w:pPr>
            <w:r w:rsidRPr="00BB567D">
              <w:rPr>
                <w:rFonts w:asciiTheme="majorBidi" w:eastAsia="Calibri" w:hAnsiTheme="majorBidi" w:cstheme="majorBidi"/>
                <w:b/>
                <w:bCs/>
                <w:sz w:val="24"/>
                <w:szCs w:val="24"/>
              </w:rPr>
              <w:t>3.8 (1.7-8.5)</w:t>
            </w:r>
          </w:p>
        </w:tc>
      </w:tr>
    </w:tbl>
    <w:p w14:paraId="34554A77" w14:textId="77777777" w:rsidR="00BB567D" w:rsidRPr="00BB567D" w:rsidRDefault="00BB567D" w:rsidP="00BB567D">
      <w:pPr>
        <w:bidi w:val="0"/>
        <w:spacing w:line="480" w:lineRule="auto"/>
        <w:rPr>
          <w:rFonts w:asciiTheme="majorBidi" w:hAnsiTheme="majorBidi" w:cstheme="majorBidi"/>
          <w:b/>
          <w:bCs/>
          <w:sz w:val="24"/>
          <w:szCs w:val="24"/>
          <w:u w:val="single"/>
        </w:rPr>
      </w:pPr>
    </w:p>
    <w:p w14:paraId="4716756C" w14:textId="77777777" w:rsidR="00BB567D" w:rsidRPr="006E3579" w:rsidRDefault="00BB567D" w:rsidP="00BB567D">
      <w:pPr>
        <w:bidi w:val="0"/>
        <w:spacing w:line="240" w:lineRule="auto"/>
        <w:rPr>
          <w:rFonts w:asciiTheme="majorBidi" w:hAnsiTheme="majorBidi" w:cstheme="majorBidi"/>
          <w:sz w:val="24"/>
          <w:szCs w:val="24"/>
        </w:rPr>
      </w:pPr>
      <w:r w:rsidRPr="00BB567D">
        <w:rPr>
          <w:rFonts w:asciiTheme="majorBidi" w:hAnsiTheme="majorBidi" w:cstheme="majorBidi"/>
          <w:sz w:val="24"/>
          <w:szCs w:val="24"/>
        </w:rPr>
        <w:t>PE (phosphatidylethanolamine); CL (cardiolipin); PG (phosphatidylglycerol); PI (phosphatidylinositol); AN (</w:t>
      </w:r>
      <w:r w:rsidRPr="00BB567D">
        <w:rPr>
          <w:rFonts w:asciiTheme="majorBidi" w:eastAsia="Calibri" w:hAnsiTheme="majorBidi" w:cstheme="majorBidi"/>
          <w:sz w:val="24"/>
          <w:szCs w:val="24"/>
        </w:rPr>
        <w:t>annexin</w:t>
      </w:r>
      <w:r w:rsidRPr="00BB567D">
        <w:rPr>
          <w:rFonts w:asciiTheme="majorBidi" w:hAnsiTheme="majorBidi" w:cstheme="majorBidi"/>
          <w:sz w:val="24"/>
          <w:szCs w:val="24"/>
        </w:rPr>
        <w:t xml:space="preserve"> 5); PT (prothrombin).</w:t>
      </w:r>
      <w:bookmarkStart w:id="1" w:name="_GoBack"/>
      <w:bookmarkEnd w:id="1"/>
    </w:p>
    <w:p w14:paraId="534C0D00" w14:textId="77777777" w:rsidR="00BB567D" w:rsidRDefault="00BB567D"/>
    <w:sectPr w:rsidR="00BB567D" w:rsidSect="00727F8A">
      <w:headerReference w:type="default" r:id="rId4"/>
      <w:pgSz w:w="11906" w:h="16838"/>
      <w:pgMar w:top="1440" w:right="1274" w:bottom="1440" w:left="127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tl/>
      </w:rPr>
      <w:id w:val="-1580673744"/>
      <w:docPartObj>
        <w:docPartGallery w:val="Page Numbers (Top of Page)"/>
        <w:docPartUnique/>
      </w:docPartObj>
    </w:sdtPr>
    <w:sdtEndPr/>
    <w:sdtContent>
      <w:p w14:paraId="43A380EF" w14:textId="77777777" w:rsidR="007B3C9D" w:rsidRDefault="00BB567D">
        <w:pPr>
          <w:pStyle w:val="Header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>
          <w:rPr>
            <w:noProof/>
            <w:rtl/>
          </w:rPr>
          <w:t>9</w:t>
        </w:r>
        <w:r>
          <w:rPr>
            <w:noProof/>
          </w:rPr>
          <w:fldChar w:fldCharType="end"/>
        </w:r>
      </w:p>
    </w:sdtContent>
  </w:sdt>
  <w:p w14:paraId="72961C59" w14:textId="77777777" w:rsidR="007B3C9D" w:rsidRDefault="00BB567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67D"/>
    <w:rsid w:val="00BB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B0B8F"/>
  <w15:chartTrackingRefBased/>
  <w15:docId w15:val="{BEFCC7C8-EA3D-4C6F-896F-D0BC380CC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67D"/>
    <w:pPr>
      <w:bidi/>
    </w:pPr>
    <w:rPr>
      <w:lang w:bidi="he-I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67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B567D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bidi="he-IL"/>
    </w:rPr>
  </w:style>
  <w:style w:type="paragraph" w:styleId="Header">
    <w:name w:val="header"/>
    <w:basedOn w:val="Normal"/>
    <w:link w:val="HeaderChar"/>
    <w:uiPriority w:val="99"/>
    <w:unhideWhenUsed/>
    <w:rsid w:val="00BB567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567D"/>
    <w:rPr>
      <w:lang w:bidi="he-IL"/>
    </w:rPr>
  </w:style>
  <w:style w:type="paragraph" w:styleId="ListParagraph">
    <w:name w:val="List Paragraph"/>
    <w:basedOn w:val="Normal"/>
    <w:uiPriority w:val="34"/>
    <w:qFormat/>
    <w:rsid w:val="00BB567D"/>
    <w:pPr>
      <w:ind w:left="720"/>
      <w:contextualSpacing/>
    </w:pPr>
  </w:style>
  <w:style w:type="table" w:styleId="TableGrid">
    <w:name w:val="Table Grid"/>
    <w:basedOn w:val="TableNormal"/>
    <w:uiPriority w:val="39"/>
    <w:rsid w:val="00BB567D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570</Words>
  <Characters>3252</Characters>
  <Application>Microsoft Office Word</Application>
  <DocSecurity>0</DocSecurity>
  <Lines>27</Lines>
  <Paragraphs>7</Paragraphs>
  <ScaleCrop>false</ScaleCrop>
  <Company/>
  <LinksUpToDate>false</LinksUpToDate>
  <CharactersWithSpaces>3815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2020-04-03T16:58:00Z</dcterms:created>
  <dcterms:modified xsi:type="dcterms:W3CDTF">2020-04-03T16:59:00Z</dcterms:modified>
</cp:coreProperties>
</file>